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227F" w14:textId="179388BC" w:rsidR="00590C70" w:rsidRPr="00590C70" w:rsidRDefault="00590C70" w:rsidP="00590C70">
      <w:pPr>
        <w:spacing w:after="40"/>
        <w:ind w:right="792"/>
        <w:jc w:val="both"/>
        <w:rPr>
          <w:rFonts w:ascii="Times New Roman" w:hAnsi="Times New Roman" w:cs="Times New Roman"/>
          <w:i/>
          <w:iCs/>
          <w:sz w:val="32"/>
          <w:szCs w:val="32"/>
        </w:rPr>
      </w:pPr>
      <w:r w:rsidRPr="00590C70">
        <w:rPr>
          <w:rFonts w:ascii="Times New Roman" w:hAnsi="Times New Roman" w:cs="Times New Roman"/>
          <w:i/>
          <w:iCs/>
          <w:sz w:val="32"/>
          <w:szCs w:val="32"/>
        </w:rPr>
        <w:t>In re Grant Daily</w:t>
      </w:r>
    </w:p>
    <w:p w14:paraId="11F1550A" w14:textId="5B2B3966" w:rsidR="00590C70" w:rsidRPr="00590C70" w:rsidRDefault="00590C70" w:rsidP="00590C70">
      <w:pPr>
        <w:spacing w:after="40"/>
        <w:ind w:right="792"/>
        <w:jc w:val="both"/>
        <w:rPr>
          <w:rFonts w:ascii="Times New Roman" w:hAnsi="Times New Roman" w:cs="Times New Roman"/>
          <w:i/>
          <w:iCs/>
          <w:sz w:val="32"/>
          <w:szCs w:val="32"/>
        </w:rPr>
      </w:pPr>
    </w:p>
    <w:p w14:paraId="2445E588" w14:textId="4FFD966C" w:rsidR="00590C70" w:rsidRPr="00590C70" w:rsidRDefault="00590C70" w:rsidP="00590C70">
      <w:pPr>
        <w:spacing w:after="40"/>
        <w:ind w:right="792"/>
        <w:jc w:val="both"/>
        <w:rPr>
          <w:rFonts w:ascii="Times New Roman" w:hAnsi="Times New Roman" w:cs="Times New Roman"/>
          <w:sz w:val="32"/>
          <w:szCs w:val="32"/>
        </w:rPr>
      </w:pPr>
      <w:r w:rsidRPr="00590C70">
        <w:rPr>
          <w:rFonts w:ascii="Times New Roman" w:hAnsi="Times New Roman" w:cs="Times New Roman"/>
          <w:sz w:val="32"/>
          <w:szCs w:val="32"/>
        </w:rPr>
        <w:t>Student Senate Court of Appeals</w:t>
      </w:r>
    </w:p>
    <w:p w14:paraId="67EBC681" w14:textId="77777777" w:rsidR="00590C70" w:rsidRDefault="00590C70" w:rsidP="00590C70">
      <w:pPr>
        <w:spacing w:after="40"/>
        <w:ind w:right="792"/>
        <w:jc w:val="both"/>
        <w:rPr>
          <w:rFonts w:ascii="Times New Roman" w:hAnsi="Times New Roman" w:cs="Times New Roman"/>
        </w:rPr>
      </w:pPr>
      <w:r>
        <w:rPr>
          <w:rFonts w:ascii="Times New Roman" w:hAnsi="Times New Roman" w:cs="Times New Roman"/>
        </w:rPr>
        <w:t>Student Body President:</w:t>
      </w:r>
    </w:p>
    <w:p w14:paraId="37AC4BFC" w14:textId="77777777" w:rsidR="00590C70" w:rsidRPr="00590C70" w:rsidRDefault="00590C70" w:rsidP="00590C70">
      <w:pPr>
        <w:spacing w:after="40"/>
        <w:ind w:right="792"/>
        <w:jc w:val="both"/>
        <w:rPr>
          <w:rFonts w:ascii="Times New Roman" w:hAnsi="Times New Roman" w:cs="Times New Roman"/>
          <w:i/>
          <w:iCs/>
        </w:rPr>
      </w:pPr>
    </w:p>
    <w:p w14:paraId="0B666090" w14:textId="72748C8F" w:rsidR="00590C70" w:rsidRDefault="00783FBC" w:rsidP="00590C70">
      <w:pPr>
        <w:spacing w:after="40"/>
        <w:ind w:right="792"/>
        <w:jc w:val="both"/>
        <w:rPr>
          <w:rFonts w:ascii="Times New Roman" w:hAnsi="Times New Roman" w:cs="Times New Roman"/>
        </w:rPr>
      </w:pPr>
      <w:r w:rsidRPr="00783FBC">
        <w:rPr>
          <w:rFonts w:ascii="Times New Roman" w:hAnsi="Times New Roman" w:cs="Times New Roman"/>
        </w:rPr>
        <w:t xml:space="preserve">The following serves as the Court’s </w:t>
      </w:r>
      <w:r w:rsidRPr="00590C70">
        <w:rPr>
          <w:rFonts w:ascii="Times New Roman" w:hAnsi="Times New Roman" w:cs="Times New Roman"/>
          <w:b/>
          <w:bCs/>
          <w:u w:val="single"/>
        </w:rPr>
        <w:t>preliminary findings</w:t>
      </w:r>
      <w:r w:rsidRPr="00783FBC">
        <w:rPr>
          <w:rFonts w:ascii="Times New Roman" w:hAnsi="Times New Roman" w:cs="Times New Roman"/>
        </w:rPr>
        <w:t xml:space="preserve"> as to the Court’s jurisdiction to hear Petitioner, Grant Daily’s</w:t>
      </w:r>
      <w:r w:rsidR="00590C70">
        <w:rPr>
          <w:rFonts w:ascii="Times New Roman" w:hAnsi="Times New Roman" w:cs="Times New Roman"/>
        </w:rPr>
        <w:t>,</w:t>
      </w:r>
      <w:r w:rsidRPr="00783FBC">
        <w:rPr>
          <w:rFonts w:ascii="Times New Roman" w:hAnsi="Times New Roman" w:cs="Times New Roman"/>
        </w:rPr>
        <w:t xml:space="preserve"> claim for relief. This is not an Opinion of this Court</w:t>
      </w:r>
      <w:r w:rsidR="00590C70">
        <w:rPr>
          <w:rFonts w:ascii="Times New Roman" w:hAnsi="Times New Roman" w:cs="Times New Roman"/>
        </w:rPr>
        <w:t xml:space="preserve"> for the reasons discussed below</w:t>
      </w:r>
      <w:r w:rsidRPr="00783FBC">
        <w:rPr>
          <w:rFonts w:ascii="Times New Roman" w:hAnsi="Times New Roman" w:cs="Times New Roman"/>
        </w:rPr>
        <w:t>.</w:t>
      </w:r>
      <w:r w:rsidR="008323F0">
        <w:rPr>
          <w:rFonts w:ascii="Times New Roman" w:hAnsi="Times New Roman" w:cs="Times New Roman"/>
        </w:rPr>
        <w:t xml:space="preserve"> This opinion does not reach Petitioner’s claims on the merits.</w:t>
      </w:r>
    </w:p>
    <w:p w14:paraId="59354719" w14:textId="520B025C" w:rsidR="00783FBC" w:rsidRPr="00783FBC" w:rsidRDefault="00783FBC" w:rsidP="00590C70">
      <w:pPr>
        <w:spacing w:after="40"/>
        <w:ind w:right="792"/>
        <w:jc w:val="both"/>
        <w:rPr>
          <w:rFonts w:ascii="Times New Roman" w:hAnsi="Times New Roman" w:cs="Times New Roman"/>
        </w:rPr>
      </w:pPr>
      <w:r w:rsidRPr="00783FBC">
        <w:rPr>
          <w:rFonts w:ascii="Times New Roman" w:hAnsi="Times New Roman" w:cs="Times New Roman"/>
        </w:rPr>
        <w:t xml:space="preserve"> </w:t>
      </w:r>
    </w:p>
    <w:p w14:paraId="6817BFEA" w14:textId="190FF07E" w:rsidR="003C5F35" w:rsidRPr="00783FBC" w:rsidRDefault="00783FBC" w:rsidP="00590C70">
      <w:pPr>
        <w:spacing w:after="40"/>
        <w:ind w:right="792"/>
        <w:jc w:val="both"/>
        <w:rPr>
          <w:rFonts w:ascii="Times New Roman" w:hAnsi="Times New Roman" w:cs="Times New Roman"/>
        </w:rPr>
      </w:pPr>
      <w:r w:rsidRPr="00951ECD">
        <w:rPr>
          <w:rFonts w:ascii="Times New Roman" w:hAnsi="Times New Roman" w:cs="Times New Roman"/>
          <w:b/>
          <w:bCs/>
        </w:rPr>
        <w:t>Jurisdiction:</w:t>
      </w:r>
      <w:r w:rsidRPr="00783FBC">
        <w:rPr>
          <w:rFonts w:ascii="Times New Roman" w:hAnsi="Times New Roman" w:cs="Times New Roman"/>
        </w:rPr>
        <w:t xml:space="preserve"> </w:t>
      </w:r>
      <w:r w:rsidR="003C5F35" w:rsidRPr="00783FBC">
        <w:rPr>
          <w:rFonts w:ascii="Times New Roman" w:hAnsi="Times New Roman" w:cs="Times New Roman"/>
        </w:rPr>
        <w:t xml:space="preserve">This Court is of the opinion that it possesses original jurisdiction to hear Petitioner’s Claim for Relief. Article III clearly states that </w:t>
      </w:r>
    </w:p>
    <w:p w14:paraId="342570AB" w14:textId="77777777" w:rsidR="00590C70" w:rsidRDefault="00590C70" w:rsidP="00590C70">
      <w:pPr>
        <w:spacing w:after="40"/>
        <w:ind w:left="360" w:right="792"/>
        <w:jc w:val="both"/>
        <w:rPr>
          <w:rFonts w:ascii="Times New Roman" w:hAnsi="Times New Roman" w:cs="Times New Roman"/>
        </w:rPr>
      </w:pPr>
    </w:p>
    <w:p w14:paraId="054BA32F" w14:textId="71931F52" w:rsidR="003C5F35" w:rsidRPr="00783FBC" w:rsidRDefault="003C5F35" w:rsidP="00590C70">
      <w:pPr>
        <w:spacing w:after="40"/>
        <w:ind w:left="360" w:right="792"/>
        <w:jc w:val="both"/>
        <w:rPr>
          <w:rFonts w:ascii="Times New Roman" w:hAnsi="Times New Roman" w:cs="Times New Roman"/>
        </w:rPr>
      </w:pPr>
      <w:r w:rsidRPr="00783FBC">
        <w:rPr>
          <w:rFonts w:ascii="Times New Roman" w:hAnsi="Times New Roman" w:cs="Times New Roman"/>
        </w:rPr>
        <w:t>“The Student Senate Court of Appeals will be the primary arbiter of all disputes arising under the application of Student Senate Rules and Regulations.  This includes but is not limited to substantive and procedural appeals of decisions coming out of committees, fee boards, student executive committee, and general session.  The court will have the following authorities within its role as the final arbiter of disputes.”</w:t>
      </w:r>
    </w:p>
    <w:p w14:paraId="53F44B81" w14:textId="77777777" w:rsidR="00590C70" w:rsidRDefault="00590C70" w:rsidP="00590C70">
      <w:pPr>
        <w:spacing w:after="40"/>
        <w:ind w:right="792"/>
        <w:jc w:val="both"/>
        <w:rPr>
          <w:rFonts w:ascii="Times New Roman" w:hAnsi="Times New Roman" w:cs="Times New Roman"/>
        </w:rPr>
      </w:pPr>
    </w:p>
    <w:p w14:paraId="5D83F3F9" w14:textId="1B602EE8" w:rsidR="00783FBC" w:rsidRPr="00783FBC" w:rsidRDefault="003C5F35" w:rsidP="00590C70">
      <w:pPr>
        <w:spacing w:after="40"/>
        <w:ind w:right="792"/>
        <w:jc w:val="both"/>
        <w:rPr>
          <w:rFonts w:ascii="Times New Roman" w:hAnsi="Times New Roman" w:cs="Times New Roman"/>
        </w:rPr>
      </w:pPr>
      <w:r w:rsidRPr="00783FBC">
        <w:rPr>
          <w:rFonts w:ascii="Times New Roman" w:hAnsi="Times New Roman" w:cs="Times New Roman"/>
        </w:rPr>
        <w:t xml:space="preserve">Art. III. Sec. 1.1. Clearly the removal of an executive officer is within this Court review powers. Both Petitioner and Respondent have suggested this Court pass the issue to the University Judicial Board prior to resolving the substantive issues in the Claim for Relief. </w:t>
      </w:r>
      <w:r w:rsidR="00783FBC" w:rsidRPr="00783FBC">
        <w:rPr>
          <w:rFonts w:ascii="Times New Roman" w:hAnsi="Times New Roman" w:cs="Times New Roman"/>
        </w:rPr>
        <w:t xml:space="preserve">However, this Court has the jurisdiction to, </w:t>
      </w:r>
    </w:p>
    <w:p w14:paraId="7744EAC9" w14:textId="77777777" w:rsidR="00590C70" w:rsidRDefault="00590C70" w:rsidP="00590C70">
      <w:pPr>
        <w:spacing w:after="40"/>
        <w:ind w:left="720" w:right="792"/>
        <w:jc w:val="both"/>
        <w:rPr>
          <w:rFonts w:ascii="Times New Roman" w:hAnsi="Times New Roman" w:cs="Times New Roman"/>
        </w:rPr>
      </w:pPr>
    </w:p>
    <w:p w14:paraId="6837DCE9" w14:textId="5E0169CE" w:rsidR="00783FBC" w:rsidRPr="00783FBC" w:rsidRDefault="00783FBC" w:rsidP="00590C70">
      <w:pPr>
        <w:spacing w:after="40"/>
        <w:ind w:left="720" w:right="792"/>
        <w:jc w:val="both"/>
        <w:rPr>
          <w:rFonts w:ascii="Times New Roman" w:hAnsi="Times New Roman" w:cs="Times New Roman"/>
          <w:shd w:val="clear" w:color="auto" w:fill="FFFFFF"/>
        </w:rPr>
      </w:pPr>
      <w:r w:rsidRPr="00783FBC">
        <w:rPr>
          <w:rFonts w:ascii="Times New Roman" w:hAnsi="Times New Roman" w:cs="Times New Roman"/>
        </w:rPr>
        <w:t>adjudicate cases and controversies brought before it that arise under Student Senate Rules and Regulations. This shall include, but not be limited to, reviewing and striking sections of the Rules inconsistent with student rights, reviewing and reversing actions inconsistent with SSRR taken by members of Student Senate, its executive staff, or its affiliates, and all other cases requiring immediate, as opposed to appellate, action.</w:t>
      </w:r>
    </w:p>
    <w:p w14:paraId="79C4B5A5" w14:textId="77777777" w:rsidR="00590C70" w:rsidRDefault="00590C70" w:rsidP="00590C70">
      <w:pPr>
        <w:spacing w:after="40"/>
        <w:ind w:right="792"/>
        <w:jc w:val="both"/>
        <w:rPr>
          <w:rFonts w:ascii="Times New Roman" w:hAnsi="Times New Roman" w:cs="Times New Roman"/>
          <w:shd w:val="clear" w:color="auto" w:fill="FFFFFF"/>
        </w:rPr>
      </w:pPr>
    </w:p>
    <w:p w14:paraId="60A7F993" w14:textId="29F010E4" w:rsidR="003C5F35" w:rsidRPr="00783FBC" w:rsidRDefault="00783FBC" w:rsidP="00590C70">
      <w:pPr>
        <w:spacing w:after="40"/>
        <w:ind w:right="792"/>
        <w:jc w:val="both"/>
        <w:rPr>
          <w:rFonts w:ascii="Times New Roman" w:hAnsi="Times New Roman" w:cs="Times New Roman"/>
        </w:rPr>
      </w:pPr>
      <w:r w:rsidRPr="00783FBC">
        <w:rPr>
          <w:rFonts w:ascii="Times New Roman" w:hAnsi="Times New Roman" w:cs="Times New Roman"/>
          <w:shd w:val="clear" w:color="auto" w:fill="FFFFFF"/>
        </w:rPr>
        <w:t xml:space="preserve">Art. III, Sec. 1.2. </w:t>
      </w:r>
      <w:r>
        <w:rPr>
          <w:rFonts w:ascii="Times New Roman" w:hAnsi="Times New Roman" w:cs="Times New Roman"/>
          <w:shd w:val="clear" w:color="auto" w:fill="FFFFFF"/>
        </w:rPr>
        <w:t>This Court has been asked to evaluate a claim that sounds in kind to require an evaluation of both the removal of an executive officer, which requires a factual finding by this Court, and to evaluate its proper procedure for resolving vacancies. T</w:t>
      </w:r>
      <w:r w:rsidR="003C5F35" w:rsidRPr="00783FBC">
        <w:rPr>
          <w:rFonts w:ascii="Times New Roman" w:hAnsi="Times New Roman" w:cs="Times New Roman"/>
        </w:rPr>
        <w:t xml:space="preserve">his Court must exhaust its original jurisdiction and issue a preliminary opinion prior to allowing an appeal from its decision. </w:t>
      </w:r>
    </w:p>
    <w:p w14:paraId="6F73E30D" w14:textId="77777777" w:rsidR="00AF4136" w:rsidRDefault="00AF4136" w:rsidP="00590C70">
      <w:pPr>
        <w:spacing w:after="40"/>
        <w:ind w:right="792"/>
        <w:jc w:val="both"/>
        <w:rPr>
          <w:rFonts w:ascii="Times New Roman" w:hAnsi="Times New Roman" w:cs="Times New Roman"/>
          <w:b/>
          <w:bCs/>
        </w:rPr>
      </w:pPr>
    </w:p>
    <w:p w14:paraId="5CA8CC3F" w14:textId="3A6FD60F" w:rsidR="003C5F35" w:rsidRPr="00783FBC" w:rsidRDefault="00951ECD" w:rsidP="00590C70">
      <w:pPr>
        <w:spacing w:after="40"/>
        <w:ind w:right="792"/>
        <w:jc w:val="both"/>
        <w:rPr>
          <w:rFonts w:ascii="Times New Roman" w:hAnsi="Times New Roman" w:cs="Times New Roman"/>
        </w:rPr>
      </w:pPr>
      <w:bookmarkStart w:id="0" w:name="_GoBack"/>
      <w:bookmarkEnd w:id="0"/>
      <w:r>
        <w:rPr>
          <w:rFonts w:ascii="Times New Roman" w:hAnsi="Times New Roman" w:cs="Times New Roman"/>
          <w:b/>
          <w:bCs/>
        </w:rPr>
        <w:t>Vacancies</w:t>
      </w:r>
      <w:r w:rsidR="003C5F35" w:rsidRPr="00951ECD">
        <w:rPr>
          <w:rFonts w:ascii="Times New Roman" w:hAnsi="Times New Roman" w:cs="Times New Roman"/>
          <w:b/>
          <w:bCs/>
        </w:rPr>
        <w:t>:</w:t>
      </w:r>
      <w:r w:rsidR="003C5F35" w:rsidRPr="00783FBC">
        <w:rPr>
          <w:rFonts w:ascii="Times New Roman" w:hAnsi="Times New Roman" w:cs="Times New Roman"/>
        </w:rPr>
        <w:t xml:space="preserve"> This Court only consists of one (1) member who is otherwise qualified under Art. III, Sec. 2. But, Art. III, Sec. 2.1 requires the Court consist of five (5) members. The Court has had such vacancy for more than thirty (30) days but the Student Body President has taken no </w:t>
      </w:r>
      <w:r w:rsidR="000E1232">
        <w:rPr>
          <w:rFonts w:ascii="Times New Roman" w:hAnsi="Times New Roman" w:cs="Times New Roman"/>
        </w:rPr>
        <w:t xml:space="preserve">evidencable </w:t>
      </w:r>
      <w:r w:rsidR="003C5F35" w:rsidRPr="00783FBC">
        <w:rPr>
          <w:rFonts w:ascii="Times New Roman" w:hAnsi="Times New Roman" w:cs="Times New Roman"/>
        </w:rPr>
        <w:t xml:space="preserve">action to </w:t>
      </w:r>
      <w:r w:rsidR="00783FBC" w:rsidRPr="00783FBC">
        <w:rPr>
          <w:rFonts w:ascii="Times New Roman" w:hAnsi="Times New Roman" w:cs="Times New Roman"/>
        </w:rPr>
        <w:t xml:space="preserve">fill these vacancies. Art. III, Sec. 4.1, </w:t>
      </w:r>
      <w:r w:rsidR="00783FBC" w:rsidRPr="00783FBC">
        <w:rPr>
          <w:rFonts w:ascii="Times New Roman" w:hAnsi="Times New Roman" w:cs="Times New Roman"/>
          <w:i/>
          <w:iCs/>
        </w:rPr>
        <w:t xml:space="preserve">et seq. </w:t>
      </w:r>
      <w:r w:rsidR="00783FBC" w:rsidRPr="00783FBC">
        <w:rPr>
          <w:rFonts w:ascii="Times New Roman" w:hAnsi="Times New Roman" w:cs="Times New Roman"/>
        </w:rPr>
        <w:t xml:space="preserve">outlines the procedure for resolving vacancies on the Court. Art. III, Sec. 4 clearly vests the responsibility of filling vacancies with a special committee: </w:t>
      </w:r>
    </w:p>
    <w:p w14:paraId="6F178766" w14:textId="77777777" w:rsidR="00590C70" w:rsidRDefault="00590C70" w:rsidP="00590C70">
      <w:pPr>
        <w:spacing w:after="40"/>
        <w:ind w:left="360" w:right="792"/>
        <w:jc w:val="both"/>
        <w:rPr>
          <w:rFonts w:ascii="Times New Roman" w:hAnsi="Times New Roman" w:cs="Times New Roman"/>
        </w:rPr>
      </w:pPr>
    </w:p>
    <w:p w14:paraId="6CC68A8C" w14:textId="0A796B56" w:rsidR="00783FBC" w:rsidRPr="00783FBC" w:rsidRDefault="00783FBC" w:rsidP="00590C70">
      <w:pPr>
        <w:spacing w:after="40"/>
        <w:ind w:left="360" w:right="792"/>
        <w:jc w:val="both"/>
        <w:rPr>
          <w:rFonts w:ascii="Times New Roman" w:hAnsi="Times New Roman" w:cs="Times New Roman"/>
        </w:rPr>
      </w:pPr>
      <w:r w:rsidRPr="00783FBC">
        <w:rPr>
          <w:rFonts w:ascii="Times New Roman" w:hAnsi="Times New Roman" w:cs="Times New Roman"/>
        </w:rPr>
        <w:lastRenderedPageBreak/>
        <w:t xml:space="preserve">In the event a vacancy occurs during the term a selection committee will be called </w:t>
      </w:r>
      <w:r w:rsidRPr="00783FBC">
        <w:rPr>
          <w:rFonts w:ascii="Times New Roman" w:hAnsi="Times New Roman" w:cs="Times New Roman"/>
          <w:b/>
          <w:bCs/>
          <w:u w:val="single"/>
        </w:rPr>
        <w:t>immediately after a vacancy has occurred</w:t>
      </w:r>
      <w:r w:rsidRPr="00783FBC">
        <w:rPr>
          <w:rFonts w:ascii="Times New Roman" w:hAnsi="Times New Roman" w:cs="Times New Roman"/>
        </w:rPr>
        <w:t xml:space="preserve"> and present its nominations to senate for two-thirds (2/3) approval within two (2) weeks of the vacancy.</w:t>
      </w:r>
    </w:p>
    <w:p w14:paraId="765A70B0" w14:textId="77777777" w:rsidR="00590C70" w:rsidRDefault="00590C70" w:rsidP="00590C70">
      <w:pPr>
        <w:spacing w:after="40"/>
        <w:ind w:right="792"/>
        <w:jc w:val="both"/>
        <w:rPr>
          <w:rFonts w:ascii="Times New Roman" w:hAnsi="Times New Roman" w:cs="Times New Roman"/>
        </w:rPr>
      </w:pPr>
    </w:p>
    <w:p w14:paraId="164B15EA" w14:textId="74B246FE" w:rsidR="000E1232" w:rsidRDefault="00783FBC" w:rsidP="00590C70">
      <w:pPr>
        <w:spacing w:after="40"/>
        <w:ind w:right="792"/>
        <w:jc w:val="both"/>
        <w:rPr>
          <w:rFonts w:ascii="Times New Roman" w:hAnsi="Times New Roman" w:cs="Times New Roman"/>
        </w:rPr>
      </w:pPr>
      <w:r w:rsidRPr="00783FBC">
        <w:rPr>
          <w:rFonts w:ascii="Times New Roman" w:hAnsi="Times New Roman" w:cs="Times New Roman"/>
        </w:rPr>
        <w:t xml:space="preserve">Art. III, Sec. 4.3. Section 4.1 details the required membership of the Special Committee. </w:t>
      </w:r>
      <w:r w:rsidR="000E1232">
        <w:rPr>
          <w:rFonts w:ascii="Times New Roman" w:hAnsi="Times New Roman" w:cs="Times New Roman"/>
        </w:rPr>
        <w:t xml:space="preserve">This Court interprets Section 4 as requiring the President to appoint a special committee. Though not stated in the text of Section 4, elsewhere in SSRR, the President is granted the responsibility of assembling Special Committees. It follows that </w:t>
      </w:r>
      <w:r w:rsidR="00951ECD">
        <w:rPr>
          <w:rFonts w:ascii="Times New Roman" w:hAnsi="Times New Roman" w:cs="Times New Roman"/>
        </w:rPr>
        <w:t>Section 4’s</w:t>
      </w:r>
      <w:r w:rsidR="000E1232">
        <w:rPr>
          <w:rFonts w:ascii="Times New Roman" w:hAnsi="Times New Roman" w:cs="Times New Roman"/>
        </w:rPr>
        <w:t xml:space="preserve"> requirement would “carry the soil” of similar requirements. </w:t>
      </w:r>
    </w:p>
    <w:p w14:paraId="0EAEB0BB" w14:textId="77777777" w:rsidR="00590C70" w:rsidRDefault="00590C70" w:rsidP="00590C70">
      <w:pPr>
        <w:spacing w:after="40"/>
        <w:ind w:right="792"/>
        <w:jc w:val="both"/>
        <w:rPr>
          <w:rFonts w:ascii="Times New Roman" w:hAnsi="Times New Roman" w:cs="Times New Roman"/>
        </w:rPr>
      </w:pPr>
    </w:p>
    <w:p w14:paraId="118E9E27" w14:textId="06A1F7DE" w:rsidR="00783FBC" w:rsidRPr="00783FBC" w:rsidRDefault="000E1232" w:rsidP="00590C70">
      <w:pPr>
        <w:spacing w:after="40"/>
        <w:ind w:right="792"/>
        <w:jc w:val="both"/>
        <w:rPr>
          <w:rFonts w:ascii="Times New Roman" w:hAnsi="Times New Roman" w:cs="Times New Roman"/>
        </w:rPr>
      </w:pPr>
      <w:r>
        <w:rPr>
          <w:rFonts w:ascii="Times New Roman" w:hAnsi="Times New Roman" w:cs="Times New Roman"/>
        </w:rPr>
        <w:t xml:space="preserve">However, under a textual interpretation of Section I, this court could not issue an interpretation of SSRR membership violations without issuing an opinion. Thus, if the President did not proactively fulfill these vacancies, the Court would have no power to evaluate potential code violations and Article III would be moot. This cannot be the case. It is long standing judicial precedent that the balance of powers in a bureaucracy may not be abused for the advantage of one singular branch. </w:t>
      </w:r>
      <w:r w:rsidR="00951ECD">
        <w:rPr>
          <w:rFonts w:ascii="Times New Roman" w:hAnsi="Times New Roman" w:cs="Times New Roman"/>
        </w:rPr>
        <w:t xml:space="preserve">This Court’s powers vest in the interpretation of Student Senate Rights and Regulations. </w:t>
      </w:r>
      <w:r>
        <w:rPr>
          <w:rFonts w:ascii="Times New Roman" w:hAnsi="Times New Roman" w:cs="Times New Roman"/>
        </w:rPr>
        <w:t xml:space="preserve">This Court has the power of Judicial Review and the authority to define </w:t>
      </w:r>
      <w:r w:rsidR="00951ECD">
        <w:rPr>
          <w:rFonts w:ascii="Times New Roman" w:hAnsi="Times New Roman" w:cs="Times New Roman"/>
        </w:rPr>
        <w:t xml:space="preserve">both procedural and substantive </w:t>
      </w:r>
      <w:r>
        <w:rPr>
          <w:rFonts w:ascii="Times New Roman" w:hAnsi="Times New Roman" w:cs="Times New Roman"/>
        </w:rPr>
        <w:t xml:space="preserve">terms </w:t>
      </w:r>
      <w:r w:rsidR="00951ECD">
        <w:rPr>
          <w:rFonts w:ascii="Times New Roman" w:hAnsi="Times New Roman" w:cs="Times New Roman"/>
        </w:rPr>
        <w:t xml:space="preserve">in “ways consistent with legal terminology.” Art. III. Sec. 1.1.1. Thus, this Court is of the opinion that it is procedurally proper for this Court to issue a Writ of Mandamus to the President to fill the current vacancy on this Court. </w:t>
      </w:r>
    </w:p>
    <w:p w14:paraId="5350947F" w14:textId="77777777" w:rsidR="00590C70" w:rsidRDefault="00590C70" w:rsidP="00590C70">
      <w:pPr>
        <w:spacing w:after="40"/>
        <w:ind w:right="792"/>
        <w:jc w:val="both"/>
        <w:rPr>
          <w:rFonts w:ascii="Times New Roman" w:hAnsi="Times New Roman" w:cs="Times New Roman"/>
        </w:rPr>
      </w:pPr>
    </w:p>
    <w:p w14:paraId="61385229" w14:textId="5EBEA86F" w:rsidR="000E1232" w:rsidRDefault="00783FBC" w:rsidP="00590C70">
      <w:pPr>
        <w:spacing w:after="40"/>
        <w:ind w:right="792"/>
        <w:jc w:val="both"/>
        <w:rPr>
          <w:rFonts w:ascii="Times New Roman" w:hAnsi="Times New Roman" w:cs="Times New Roman"/>
        </w:rPr>
      </w:pPr>
      <w:r w:rsidRPr="00783FBC">
        <w:rPr>
          <w:rFonts w:ascii="Times New Roman" w:hAnsi="Times New Roman" w:cs="Times New Roman"/>
        </w:rPr>
        <w:t xml:space="preserve">This </w:t>
      </w:r>
      <w:r w:rsidR="000E1232">
        <w:rPr>
          <w:rFonts w:ascii="Times New Roman" w:hAnsi="Times New Roman" w:cs="Times New Roman"/>
        </w:rPr>
        <w:t>Court is of the opinion that the Student Senate Court of Appeal</w:t>
      </w:r>
      <w:r w:rsidR="00590C70">
        <w:rPr>
          <w:rFonts w:ascii="Times New Roman" w:hAnsi="Times New Roman" w:cs="Times New Roman"/>
        </w:rPr>
        <w:t>s</w:t>
      </w:r>
      <w:r w:rsidR="000E1232">
        <w:rPr>
          <w:rFonts w:ascii="Times New Roman" w:hAnsi="Times New Roman" w:cs="Times New Roman"/>
        </w:rPr>
        <w:t xml:space="preserve"> must meet the membership qualifications prior to issuing an opinion on this matter. Until an opinion is certified, because this Court has original jurisdiction, no appeal from this body can take place. The Student Body President must immediately appoint a special committee to fill these vacancies or the Court will appoint its own members in order to fulfill its requirements under Article III.</w:t>
      </w:r>
    </w:p>
    <w:p w14:paraId="06EB8005" w14:textId="77777777" w:rsidR="00590C70" w:rsidRDefault="00590C70" w:rsidP="00590C70">
      <w:pPr>
        <w:spacing w:after="40"/>
        <w:ind w:right="1152"/>
        <w:jc w:val="both"/>
        <w:rPr>
          <w:rFonts w:ascii="Times New Roman" w:hAnsi="Times New Roman" w:cs="Times New Roman"/>
        </w:rPr>
      </w:pPr>
    </w:p>
    <w:p w14:paraId="3101EC68" w14:textId="555DB4BC" w:rsidR="00590C70" w:rsidRDefault="00951ECD" w:rsidP="00590C70">
      <w:pPr>
        <w:spacing w:after="40"/>
        <w:ind w:right="1152"/>
        <w:jc w:val="both"/>
        <w:rPr>
          <w:rFonts w:ascii="Times New Roman" w:hAnsi="Times New Roman" w:cs="Times New Roman"/>
        </w:rPr>
      </w:pPr>
      <w:r>
        <w:rPr>
          <w:rFonts w:ascii="Times New Roman" w:hAnsi="Times New Roman" w:cs="Times New Roman"/>
        </w:rPr>
        <w:t xml:space="preserve">Finally, </w:t>
      </w:r>
      <w:r w:rsidR="00742F1A" w:rsidRPr="00783FBC">
        <w:rPr>
          <w:rFonts w:ascii="Times New Roman" w:hAnsi="Times New Roman" w:cs="Times New Roman"/>
        </w:rPr>
        <w:t xml:space="preserve">Petitioner suggested that this Court lacks the additional requirements under </w:t>
      </w:r>
      <w:r w:rsidR="00590C70">
        <w:rPr>
          <w:rFonts w:ascii="Times New Roman" w:hAnsi="Times New Roman" w:cs="Times New Roman"/>
        </w:rPr>
        <w:t xml:space="preserve">Section </w:t>
      </w:r>
      <w:r w:rsidR="00742F1A" w:rsidRPr="00783FBC">
        <w:rPr>
          <w:rFonts w:ascii="Times New Roman" w:hAnsi="Times New Roman" w:cs="Times New Roman"/>
        </w:rPr>
        <w:t xml:space="preserve">7.1. I </w:t>
      </w:r>
      <w:r w:rsidRPr="00783FBC">
        <w:rPr>
          <w:rFonts w:ascii="Times New Roman" w:hAnsi="Times New Roman" w:cs="Times New Roman"/>
        </w:rPr>
        <w:t>believe</w:t>
      </w:r>
      <w:r w:rsidR="00742F1A" w:rsidRPr="00783FBC">
        <w:rPr>
          <w:rFonts w:ascii="Times New Roman" w:hAnsi="Times New Roman" w:cs="Times New Roman"/>
        </w:rPr>
        <w:t xml:space="preserve"> Petitioner is referencing the following:</w:t>
      </w:r>
      <w:r>
        <w:rPr>
          <w:rFonts w:ascii="Times New Roman" w:hAnsi="Times New Roman" w:cs="Times New Roman"/>
        </w:rPr>
        <w:t xml:space="preserve"> “</w:t>
      </w:r>
      <w:r w:rsidR="00742F1A" w:rsidRPr="00783FBC">
        <w:rPr>
          <w:rFonts w:ascii="Times New Roman" w:hAnsi="Times New Roman" w:cs="Times New Roman"/>
        </w:rPr>
        <w:t>Justices shall be required to attend one (1) Student Senate general session meeting per academic semester.</w:t>
      </w:r>
      <w:r>
        <w:rPr>
          <w:rFonts w:ascii="Times New Roman" w:hAnsi="Times New Roman" w:cs="Times New Roman"/>
        </w:rPr>
        <w:t xml:space="preserve">” </w:t>
      </w:r>
      <w:r w:rsidR="00590C70">
        <w:rPr>
          <w:rFonts w:ascii="Times New Roman" w:hAnsi="Times New Roman" w:cs="Times New Roman"/>
        </w:rPr>
        <w:t>Though this Justice has not yet fulfilled this requirement, t</w:t>
      </w:r>
      <w:r w:rsidR="00742F1A" w:rsidRPr="00783FBC">
        <w:rPr>
          <w:rFonts w:ascii="Times New Roman" w:hAnsi="Times New Roman" w:cs="Times New Roman"/>
        </w:rPr>
        <w:t xml:space="preserve">he academic semester for Spring 2020 is not complete and the rule does not specify that any justice must fulfill </w:t>
      </w:r>
      <w:r w:rsidR="00590C70">
        <w:rPr>
          <w:rFonts w:ascii="Times New Roman" w:hAnsi="Times New Roman" w:cs="Times New Roman"/>
        </w:rPr>
        <w:t>Section 7.1.1</w:t>
      </w:r>
      <w:r w:rsidR="00742F1A" w:rsidRPr="00783FBC">
        <w:rPr>
          <w:rFonts w:ascii="Times New Roman" w:hAnsi="Times New Roman" w:cs="Times New Roman"/>
        </w:rPr>
        <w:t xml:space="preserve"> prior to </w:t>
      </w:r>
      <w:r w:rsidR="00590C70">
        <w:rPr>
          <w:rFonts w:ascii="Times New Roman" w:hAnsi="Times New Roman" w:cs="Times New Roman"/>
        </w:rPr>
        <w:t>exercising its powers under Article III</w:t>
      </w:r>
      <w:r w:rsidR="00742F1A" w:rsidRPr="00783FBC">
        <w:rPr>
          <w:rFonts w:ascii="Times New Roman" w:hAnsi="Times New Roman" w:cs="Times New Roman"/>
        </w:rPr>
        <w:t>. Thus, the Court meets this requirement.</w:t>
      </w:r>
    </w:p>
    <w:p w14:paraId="24839D86" w14:textId="77777777" w:rsidR="00590C70" w:rsidRDefault="00590C70" w:rsidP="00590C70">
      <w:pPr>
        <w:spacing w:after="40"/>
        <w:ind w:right="1152"/>
        <w:jc w:val="both"/>
        <w:rPr>
          <w:rFonts w:ascii="Times New Roman" w:hAnsi="Times New Roman" w:cs="Times New Roman"/>
        </w:rPr>
      </w:pPr>
    </w:p>
    <w:p w14:paraId="5B6752B6" w14:textId="683EF0EC" w:rsidR="00742F1A" w:rsidRPr="00590C70" w:rsidRDefault="00590C70" w:rsidP="00590C70">
      <w:pPr>
        <w:spacing w:after="40"/>
        <w:ind w:right="1152"/>
        <w:jc w:val="both"/>
        <w:rPr>
          <w:rFonts w:ascii="Times New Roman" w:hAnsi="Times New Roman" w:cs="Times New Roman"/>
        </w:rPr>
      </w:pPr>
      <w:r>
        <w:rPr>
          <w:rFonts w:ascii="Times New Roman" w:hAnsi="Times New Roman" w:cs="Times New Roman"/>
        </w:rPr>
        <w:t>/</w:t>
      </w:r>
      <w:r w:rsidR="00742F1A" w:rsidRPr="00783FBC">
        <w:rPr>
          <w:rFonts w:ascii="Times New Roman" w:hAnsi="Times New Roman" w:cs="Times New Roman"/>
        </w:rPr>
        <w:t xml:space="preserve">s/ </w:t>
      </w:r>
      <w:r w:rsidR="00742F1A" w:rsidRPr="00783FBC">
        <w:rPr>
          <w:rFonts w:ascii="Times New Roman" w:hAnsi="Times New Roman" w:cs="Times New Roman"/>
          <w:i/>
          <w:iCs/>
        </w:rPr>
        <w:t>Zachary A. Kelsay</w:t>
      </w:r>
    </w:p>
    <w:p w14:paraId="4EB35C48" w14:textId="67B4C099" w:rsidR="00742F1A" w:rsidRPr="00783FBC" w:rsidRDefault="00742F1A" w:rsidP="00590C70">
      <w:pPr>
        <w:spacing w:after="40"/>
        <w:ind w:right="1152"/>
        <w:jc w:val="both"/>
        <w:rPr>
          <w:rFonts w:ascii="Times New Roman" w:hAnsi="Times New Roman" w:cs="Times New Roman"/>
        </w:rPr>
      </w:pPr>
      <w:r w:rsidRPr="00783FBC">
        <w:rPr>
          <w:rFonts w:ascii="Times New Roman" w:hAnsi="Times New Roman" w:cs="Times New Roman"/>
        </w:rPr>
        <w:t>Chief Justice, Student Senate Court of Appeals</w:t>
      </w:r>
    </w:p>
    <w:p w14:paraId="1C4D94FC" w14:textId="6759547F" w:rsidR="00742F1A" w:rsidRPr="00783FBC" w:rsidRDefault="00742F1A" w:rsidP="00590C70">
      <w:pPr>
        <w:spacing w:after="40"/>
        <w:ind w:left="720" w:right="1152"/>
        <w:jc w:val="both"/>
        <w:rPr>
          <w:rFonts w:ascii="Times New Roman" w:hAnsi="Times New Roman" w:cs="Times New Roman"/>
        </w:rPr>
      </w:pPr>
    </w:p>
    <w:p w14:paraId="0870E803" w14:textId="5BF314B4" w:rsidR="00742F1A" w:rsidRPr="00783FBC" w:rsidRDefault="00742F1A" w:rsidP="00590C70">
      <w:pPr>
        <w:spacing w:after="40"/>
        <w:ind w:right="1152"/>
        <w:jc w:val="both"/>
        <w:rPr>
          <w:rFonts w:ascii="Times New Roman" w:hAnsi="Times New Roman" w:cs="Times New Roman"/>
        </w:rPr>
      </w:pPr>
      <w:r w:rsidRPr="00783FBC">
        <w:rPr>
          <w:rFonts w:ascii="Times New Roman" w:hAnsi="Times New Roman" w:cs="Times New Roman"/>
        </w:rPr>
        <w:t>CC//Senate Communications Director, Grant Daily</w:t>
      </w:r>
      <w:r w:rsidR="00590C70">
        <w:rPr>
          <w:rFonts w:ascii="Times New Roman" w:hAnsi="Times New Roman" w:cs="Times New Roman"/>
        </w:rPr>
        <w:t>, Senate Chief of Staff</w:t>
      </w:r>
    </w:p>
    <w:p w14:paraId="398222FB" w14:textId="77777777" w:rsidR="00742F1A" w:rsidRPr="00783FBC" w:rsidRDefault="00742F1A" w:rsidP="00590C70">
      <w:pPr>
        <w:jc w:val="both"/>
        <w:rPr>
          <w:rFonts w:ascii="Times New Roman" w:hAnsi="Times New Roman" w:cs="Times New Roman"/>
        </w:rPr>
      </w:pPr>
    </w:p>
    <w:sectPr w:rsidR="00742F1A" w:rsidRPr="0078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1A"/>
    <w:rsid w:val="000E1232"/>
    <w:rsid w:val="003C5F35"/>
    <w:rsid w:val="00590C70"/>
    <w:rsid w:val="00742F1A"/>
    <w:rsid w:val="00783FBC"/>
    <w:rsid w:val="008323F0"/>
    <w:rsid w:val="00951ECD"/>
    <w:rsid w:val="00AF4136"/>
    <w:rsid w:val="00E97AC1"/>
    <w:rsid w:val="00F572FE"/>
    <w:rsid w:val="00FC6290"/>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4EFF"/>
  <w15:chartTrackingRefBased/>
  <w15:docId w15:val="{D06C876F-61E6-44C5-982B-3D3E332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D89C-5CAD-420F-84D2-D1EEB2E7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Kelsay</dc:creator>
  <cp:keywords/>
  <dc:description/>
  <cp:lastModifiedBy>Zach Kelsay</cp:lastModifiedBy>
  <cp:revision>3</cp:revision>
  <dcterms:created xsi:type="dcterms:W3CDTF">2020-02-05T13:34:00Z</dcterms:created>
  <dcterms:modified xsi:type="dcterms:W3CDTF">2020-02-05T14:33:00Z</dcterms:modified>
</cp:coreProperties>
</file>